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EA476" w14:textId="77777777" w:rsidR="004C47B9" w:rsidRPr="003E715A" w:rsidRDefault="004C47B9" w:rsidP="004C47B9">
      <w:pPr>
        <w:pStyle w:val="Header"/>
        <w:jc w:val="center"/>
        <w:rPr>
          <w:rFonts w:ascii="Maiandra GD" w:hAnsi="Maiandra GD"/>
          <w:b/>
          <w:szCs w:val="18"/>
        </w:rPr>
      </w:pPr>
      <w:r w:rsidRPr="003E715A">
        <w:rPr>
          <w:rFonts w:ascii="Helvetica" w:hAnsi="Helvetica" w:cs="Helvetica"/>
          <w:noProof/>
          <w:lang w:val="en-US"/>
        </w:rPr>
        <w:drawing>
          <wp:inline distT="0" distB="0" distL="0" distR="0" wp14:anchorId="488814D7" wp14:editId="27944B02">
            <wp:extent cx="4534535" cy="128206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4535" cy="12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8F2EF" w14:textId="77777777" w:rsidR="004C47B9" w:rsidRDefault="004C47B9" w:rsidP="002271D4">
      <w:pPr>
        <w:rPr>
          <w:rFonts w:ascii="Maiandra GD" w:eastAsia="Times New Roman" w:hAnsi="Maiandra GD" w:cs="Times New Roman"/>
          <w:color w:val="0432FF"/>
          <w:sz w:val="28"/>
          <w:szCs w:val="28"/>
          <w:lang w:eastAsia="en-GB"/>
        </w:rPr>
      </w:pPr>
    </w:p>
    <w:p w14:paraId="660070DA" w14:textId="77777777" w:rsidR="004C47B9" w:rsidRDefault="004C47B9" w:rsidP="002271D4">
      <w:pPr>
        <w:rPr>
          <w:rFonts w:ascii="Maiandra GD" w:eastAsia="Times New Roman" w:hAnsi="Maiandra GD" w:cs="Times New Roman"/>
          <w:color w:val="0432FF"/>
          <w:sz w:val="28"/>
          <w:szCs w:val="28"/>
          <w:lang w:eastAsia="en-GB"/>
        </w:rPr>
      </w:pPr>
    </w:p>
    <w:p w14:paraId="365780B1" w14:textId="77777777" w:rsidR="004C47B9" w:rsidRDefault="004C47B9" w:rsidP="002271D4">
      <w:pPr>
        <w:rPr>
          <w:rFonts w:ascii="Maiandra GD" w:eastAsia="Times New Roman" w:hAnsi="Maiandra GD" w:cs="Times New Roman"/>
          <w:color w:val="0432FF"/>
          <w:sz w:val="28"/>
          <w:szCs w:val="28"/>
          <w:lang w:eastAsia="en-GB"/>
        </w:rPr>
      </w:pPr>
    </w:p>
    <w:p w14:paraId="1A473ABD" w14:textId="0D541275" w:rsidR="003B406F" w:rsidRPr="003B406F" w:rsidRDefault="003B406F" w:rsidP="002271D4">
      <w:pPr>
        <w:rPr>
          <w:rFonts w:ascii="Maiandra GD" w:eastAsia="Times New Roman" w:hAnsi="Maiandra GD" w:cs="Times New Roman"/>
          <w:color w:val="0432FF"/>
          <w:sz w:val="28"/>
          <w:szCs w:val="28"/>
          <w:lang w:eastAsia="en-GB"/>
        </w:rPr>
      </w:pPr>
      <w:r w:rsidRPr="003B406F">
        <w:rPr>
          <w:rFonts w:ascii="Maiandra GD" w:eastAsia="Times New Roman" w:hAnsi="Maiandra GD" w:cs="Times New Roman"/>
          <w:color w:val="0432FF"/>
          <w:sz w:val="28"/>
          <w:szCs w:val="28"/>
          <w:lang w:eastAsia="en-GB"/>
        </w:rPr>
        <w:t>Compliance with the Public Sector Equality Duty at ASAT</w:t>
      </w:r>
      <w:r w:rsidR="004C47B9">
        <w:rPr>
          <w:rFonts w:ascii="Maiandra GD" w:eastAsia="Times New Roman" w:hAnsi="Maiandra GD" w:cs="Times New Roman"/>
          <w:color w:val="0432FF"/>
          <w:sz w:val="28"/>
          <w:szCs w:val="28"/>
          <w:lang w:eastAsia="en-GB"/>
        </w:rPr>
        <w:t xml:space="preserve"> 21-22</w:t>
      </w:r>
    </w:p>
    <w:p w14:paraId="0D56CB7E" w14:textId="77777777" w:rsidR="003B406F" w:rsidRDefault="003B406F" w:rsidP="002271D4">
      <w:pPr>
        <w:rPr>
          <w:rFonts w:ascii="Maiandra GD" w:eastAsia="Times New Roman" w:hAnsi="Maiandra GD" w:cs="Times New Roman"/>
          <w:sz w:val="28"/>
          <w:szCs w:val="28"/>
          <w:lang w:eastAsia="en-GB"/>
        </w:rPr>
      </w:pPr>
    </w:p>
    <w:p w14:paraId="72225FDC" w14:textId="6787623F" w:rsidR="002271D4" w:rsidRDefault="002271D4" w:rsidP="002271D4">
      <w:pPr>
        <w:rPr>
          <w:rFonts w:ascii="Maiandra GD" w:eastAsia="Times New Roman" w:hAnsi="Maiandra GD" w:cs="Times New Roman"/>
          <w:sz w:val="28"/>
          <w:szCs w:val="28"/>
          <w:lang w:eastAsia="en-GB"/>
        </w:rPr>
      </w:pPr>
      <w:r w:rsidRPr="002271D4">
        <w:rPr>
          <w:rFonts w:ascii="Maiandra GD" w:eastAsia="Times New Roman" w:hAnsi="Maiandra GD" w:cs="Times New Roman"/>
          <w:sz w:val="28"/>
          <w:szCs w:val="28"/>
          <w:lang w:eastAsia="en-GB"/>
        </w:rPr>
        <w:t xml:space="preserve">Under the Public Sector Equality Duty, </w:t>
      </w:r>
      <w:r>
        <w:rPr>
          <w:rFonts w:ascii="Maiandra GD" w:eastAsia="Times New Roman" w:hAnsi="Maiandra GD" w:cs="Times New Roman"/>
          <w:sz w:val="28"/>
          <w:szCs w:val="28"/>
          <w:lang w:eastAsia="en-GB"/>
        </w:rPr>
        <w:t xml:space="preserve">we of St. Andrew’s Primary School and All Saints Academy Trust will have </w:t>
      </w:r>
      <w:r w:rsidRPr="002271D4">
        <w:rPr>
          <w:rFonts w:ascii="Maiandra GD" w:eastAsia="Times New Roman" w:hAnsi="Maiandra GD" w:cs="Times New Roman"/>
          <w:sz w:val="28"/>
          <w:szCs w:val="28"/>
          <w:lang w:eastAsia="en-GB"/>
        </w:rPr>
        <w:t xml:space="preserve">‘due regard’, when making decisions and developing policies, to the need to: </w:t>
      </w:r>
    </w:p>
    <w:p w14:paraId="4FD0F12A" w14:textId="77777777" w:rsidR="003B406F" w:rsidRDefault="003B406F" w:rsidP="002271D4">
      <w:pPr>
        <w:rPr>
          <w:rFonts w:ascii="Maiandra GD" w:eastAsia="Times New Roman" w:hAnsi="Maiandra GD" w:cs="Times New Roman"/>
          <w:sz w:val="28"/>
          <w:szCs w:val="28"/>
          <w:lang w:eastAsia="en-GB"/>
        </w:rPr>
      </w:pPr>
    </w:p>
    <w:p w14:paraId="292D898C" w14:textId="77777777" w:rsidR="002271D4" w:rsidRDefault="002271D4" w:rsidP="002271D4">
      <w:pPr>
        <w:rPr>
          <w:rFonts w:ascii="Maiandra GD" w:eastAsia="Times New Roman" w:hAnsi="Maiandra GD" w:cs="Times New Roman"/>
          <w:sz w:val="28"/>
          <w:szCs w:val="28"/>
          <w:lang w:eastAsia="en-GB"/>
        </w:rPr>
      </w:pPr>
      <w:r w:rsidRPr="002271D4">
        <w:rPr>
          <w:rFonts w:ascii="Maiandra GD" w:eastAsia="Times New Roman" w:hAnsi="Maiandra GD" w:cs="Times New Roman"/>
          <w:sz w:val="28"/>
          <w:szCs w:val="28"/>
          <w:lang w:eastAsia="en-GB"/>
        </w:rPr>
        <w:t xml:space="preserve">1. eliminate discrimination, harassment, victimisation and other conduct that is prohibited under the Equality Act </w:t>
      </w:r>
      <w:proofErr w:type="gramStart"/>
      <w:r w:rsidRPr="002271D4">
        <w:rPr>
          <w:rFonts w:ascii="Maiandra GD" w:eastAsia="Times New Roman" w:hAnsi="Maiandra GD" w:cs="Times New Roman"/>
          <w:sz w:val="28"/>
          <w:szCs w:val="28"/>
          <w:lang w:eastAsia="en-GB"/>
        </w:rPr>
        <w:t>2010;</w:t>
      </w:r>
      <w:proofErr w:type="gramEnd"/>
      <w:r w:rsidRPr="002271D4">
        <w:rPr>
          <w:rFonts w:ascii="Maiandra GD" w:eastAsia="Times New Roman" w:hAnsi="Maiandra GD" w:cs="Times New Roman"/>
          <w:sz w:val="28"/>
          <w:szCs w:val="28"/>
          <w:lang w:eastAsia="en-GB"/>
        </w:rPr>
        <w:t xml:space="preserve"> </w:t>
      </w:r>
    </w:p>
    <w:p w14:paraId="230EF963" w14:textId="77777777" w:rsidR="002271D4" w:rsidRDefault="002271D4" w:rsidP="002271D4">
      <w:pPr>
        <w:rPr>
          <w:rFonts w:ascii="Maiandra GD" w:eastAsia="Times New Roman" w:hAnsi="Maiandra GD" w:cs="Times New Roman"/>
          <w:sz w:val="28"/>
          <w:szCs w:val="28"/>
          <w:lang w:eastAsia="en-GB"/>
        </w:rPr>
      </w:pPr>
      <w:r w:rsidRPr="002271D4">
        <w:rPr>
          <w:rFonts w:ascii="Maiandra GD" w:eastAsia="Times New Roman" w:hAnsi="Maiandra GD" w:cs="Times New Roman"/>
          <w:sz w:val="28"/>
          <w:szCs w:val="28"/>
          <w:lang w:eastAsia="en-GB"/>
        </w:rPr>
        <w:t xml:space="preserve">2. advance equality of opportunity between people who share a protected characteristic and people who do not share </w:t>
      </w:r>
      <w:proofErr w:type="gramStart"/>
      <w:r w:rsidRPr="002271D4">
        <w:rPr>
          <w:rFonts w:ascii="Maiandra GD" w:eastAsia="Times New Roman" w:hAnsi="Maiandra GD" w:cs="Times New Roman"/>
          <w:sz w:val="28"/>
          <w:szCs w:val="28"/>
          <w:lang w:eastAsia="en-GB"/>
        </w:rPr>
        <w:t>it;</w:t>
      </w:r>
      <w:proofErr w:type="gramEnd"/>
      <w:r w:rsidRPr="002271D4">
        <w:rPr>
          <w:rFonts w:ascii="Maiandra GD" w:eastAsia="Times New Roman" w:hAnsi="Maiandra GD" w:cs="Times New Roman"/>
          <w:sz w:val="28"/>
          <w:szCs w:val="28"/>
          <w:lang w:eastAsia="en-GB"/>
        </w:rPr>
        <w:t xml:space="preserve"> </w:t>
      </w:r>
    </w:p>
    <w:p w14:paraId="7378F4F2" w14:textId="53028757" w:rsidR="002271D4" w:rsidRPr="002271D4" w:rsidRDefault="002271D4" w:rsidP="002271D4">
      <w:pPr>
        <w:rPr>
          <w:rFonts w:ascii="Maiandra GD" w:eastAsia="Times New Roman" w:hAnsi="Maiandra GD" w:cs="Times New Roman"/>
          <w:sz w:val="28"/>
          <w:szCs w:val="28"/>
          <w:lang w:eastAsia="en-GB"/>
        </w:rPr>
      </w:pPr>
      <w:r w:rsidRPr="002271D4">
        <w:rPr>
          <w:rFonts w:ascii="Maiandra GD" w:eastAsia="Times New Roman" w:hAnsi="Maiandra GD" w:cs="Times New Roman"/>
          <w:sz w:val="28"/>
          <w:szCs w:val="28"/>
          <w:lang w:eastAsia="en-GB"/>
        </w:rPr>
        <w:t>3. foster good relations across all protected characteristics – between people who share a protected characteristic and people who do not share it.</w:t>
      </w:r>
    </w:p>
    <w:p w14:paraId="27AF9F4F" w14:textId="171894F6" w:rsidR="002271D4" w:rsidRDefault="002271D4" w:rsidP="000742A8">
      <w:pPr>
        <w:jc w:val="center"/>
        <w:rPr>
          <w:rFonts w:ascii="Maiandra GD" w:hAnsi="Maiandra GD"/>
          <w:color w:val="0432FF"/>
          <w:sz w:val="28"/>
          <w:szCs w:val="28"/>
        </w:rPr>
      </w:pPr>
    </w:p>
    <w:p w14:paraId="251767CD" w14:textId="3826C767" w:rsidR="003B406F" w:rsidRDefault="003B406F" w:rsidP="003B406F">
      <w:pPr>
        <w:rPr>
          <w:rFonts w:ascii="Maiandra GD" w:hAnsi="Maiandra GD"/>
          <w:color w:val="0432FF"/>
          <w:sz w:val="28"/>
          <w:szCs w:val="28"/>
        </w:rPr>
      </w:pPr>
      <w:r>
        <w:rPr>
          <w:rFonts w:ascii="Maiandra GD" w:hAnsi="Maiandra GD"/>
          <w:color w:val="0432FF"/>
          <w:sz w:val="28"/>
          <w:szCs w:val="28"/>
        </w:rPr>
        <w:t>What does having due regard mean at St. Andrew’s?</w:t>
      </w:r>
    </w:p>
    <w:p w14:paraId="42BC9921" w14:textId="77777777" w:rsidR="00864D8B" w:rsidRPr="00864D8B" w:rsidRDefault="00864D8B" w:rsidP="003B406F">
      <w:pPr>
        <w:rPr>
          <w:rFonts w:ascii="Maiandra GD" w:hAnsi="Maiandra GD"/>
          <w:color w:val="000000" w:themeColor="text1"/>
          <w:sz w:val="28"/>
          <w:szCs w:val="28"/>
        </w:rPr>
      </w:pPr>
    </w:p>
    <w:p w14:paraId="769C8AFB" w14:textId="77777777" w:rsidR="003B406F" w:rsidRPr="00864D8B" w:rsidRDefault="003B406F" w:rsidP="003B406F">
      <w:pPr>
        <w:pStyle w:val="ListParagraph"/>
        <w:numPr>
          <w:ilvl w:val="0"/>
          <w:numId w:val="1"/>
        </w:numPr>
        <w:rPr>
          <w:rFonts w:ascii="Maiandra GD" w:hAnsi="Maiandra GD"/>
          <w:color w:val="000000" w:themeColor="text1"/>
          <w:sz w:val="28"/>
          <w:szCs w:val="28"/>
        </w:rPr>
      </w:pPr>
      <w:r w:rsidRPr="00864D8B">
        <w:rPr>
          <w:rFonts w:ascii="Maiandra GD" w:hAnsi="Maiandra GD"/>
          <w:color w:val="000000" w:themeColor="text1"/>
          <w:sz w:val="28"/>
          <w:szCs w:val="28"/>
        </w:rPr>
        <w:t xml:space="preserve">We </w:t>
      </w:r>
      <w:r w:rsidRPr="00864D8B">
        <w:rPr>
          <w:rFonts w:ascii="Maiandra GD" w:hAnsi="Maiandra GD"/>
          <w:color w:val="000000" w:themeColor="text1"/>
          <w:sz w:val="28"/>
          <w:szCs w:val="28"/>
        </w:rPr>
        <w:t xml:space="preserve">must assess whether any decision it makes, or action it takes, may have implications for people with particular protected </w:t>
      </w:r>
      <w:proofErr w:type="gramStart"/>
      <w:r w:rsidRPr="00864D8B">
        <w:rPr>
          <w:rFonts w:ascii="Maiandra GD" w:hAnsi="Maiandra GD"/>
          <w:color w:val="000000" w:themeColor="text1"/>
          <w:sz w:val="28"/>
          <w:szCs w:val="28"/>
        </w:rPr>
        <w:t>characteristics;</w:t>
      </w:r>
      <w:proofErr w:type="gramEnd"/>
      <w:r w:rsidRPr="00864D8B">
        <w:rPr>
          <w:rFonts w:ascii="Maiandra GD" w:hAnsi="Maiandra GD"/>
          <w:color w:val="000000" w:themeColor="text1"/>
          <w:sz w:val="28"/>
          <w:szCs w:val="28"/>
        </w:rPr>
        <w:t xml:space="preserve"> </w:t>
      </w:r>
    </w:p>
    <w:p w14:paraId="2CA73C7F" w14:textId="77777777" w:rsidR="003B406F" w:rsidRPr="00864D8B" w:rsidRDefault="003B406F" w:rsidP="003B406F">
      <w:pPr>
        <w:pStyle w:val="ListParagraph"/>
        <w:numPr>
          <w:ilvl w:val="0"/>
          <w:numId w:val="1"/>
        </w:numPr>
        <w:rPr>
          <w:rFonts w:ascii="Maiandra GD" w:hAnsi="Maiandra GD"/>
          <w:color w:val="000000" w:themeColor="text1"/>
          <w:sz w:val="28"/>
          <w:szCs w:val="28"/>
        </w:rPr>
      </w:pPr>
      <w:r w:rsidRPr="00864D8B">
        <w:rPr>
          <w:rFonts w:ascii="Maiandra GD" w:hAnsi="Maiandra GD"/>
          <w:color w:val="000000" w:themeColor="text1"/>
          <w:sz w:val="28"/>
          <w:szCs w:val="28"/>
        </w:rPr>
        <w:t>S</w:t>
      </w:r>
      <w:r w:rsidRPr="00864D8B">
        <w:rPr>
          <w:rFonts w:ascii="Maiandra GD" w:hAnsi="Maiandra GD"/>
          <w:color w:val="000000" w:themeColor="text1"/>
          <w:sz w:val="28"/>
          <w:szCs w:val="28"/>
        </w:rPr>
        <w:t xml:space="preserve">uch equality implications should not be an afterthought. They should be considered before and at the time a policy is developed or decision </w:t>
      </w:r>
      <w:proofErr w:type="gramStart"/>
      <w:r w:rsidRPr="00864D8B">
        <w:rPr>
          <w:rFonts w:ascii="Maiandra GD" w:hAnsi="Maiandra GD"/>
          <w:color w:val="000000" w:themeColor="text1"/>
          <w:sz w:val="28"/>
          <w:szCs w:val="28"/>
        </w:rPr>
        <w:t>taken;</w:t>
      </w:r>
      <w:proofErr w:type="gramEnd"/>
      <w:r w:rsidRPr="00864D8B">
        <w:rPr>
          <w:rFonts w:ascii="Maiandra GD" w:hAnsi="Maiandra GD"/>
          <w:color w:val="000000" w:themeColor="text1"/>
          <w:sz w:val="28"/>
          <w:szCs w:val="28"/>
        </w:rPr>
        <w:t xml:space="preserve"> </w:t>
      </w:r>
    </w:p>
    <w:p w14:paraId="59E36458" w14:textId="77777777" w:rsidR="003B406F" w:rsidRPr="00864D8B" w:rsidRDefault="003B406F" w:rsidP="003B406F">
      <w:pPr>
        <w:pStyle w:val="ListParagraph"/>
        <w:numPr>
          <w:ilvl w:val="0"/>
          <w:numId w:val="1"/>
        </w:numPr>
        <w:rPr>
          <w:rFonts w:ascii="Maiandra GD" w:hAnsi="Maiandra GD"/>
          <w:color w:val="000000" w:themeColor="text1"/>
          <w:sz w:val="28"/>
          <w:szCs w:val="28"/>
        </w:rPr>
      </w:pPr>
      <w:r w:rsidRPr="00864D8B">
        <w:rPr>
          <w:rFonts w:ascii="Maiandra GD" w:hAnsi="Maiandra GD"/>
          <w:color w:val="000000" w:themeColor="text1"/>
          <w:sz w:val="28"/>
          <w:szCs w:val="28"/>
        </w:rPr>
        <w:t>E</w:t>
      </w:r>
      <w:r w:rsidRPr="00864D8B">
        <w:rPr>
          <w:rFonts w:ascii="Maiandra GD" w:hAnsi="Maiandra GD"/>
          <w:color w:val="000000" w:themeColor="text1"/>
          <w:sz w:val="28"/>
          <w:szCs w:val="28"/>
        </w:rPr>
        <w:t xml:space="preserve">ach strand of the duty should be considered consciously and separately (eliminating discrimination is different to advancing equality); • </w:t>
      </w:r>
    </w:p>
    <w:p w14:paraId="21C2DD50" w14:textId="77777777" w:rsidR="003B406F" w:rsidRPr="00864D8B" w:rsidRDefault="003B406F" w:rsidP="003B406F">
      <w:pPr>
        <w:pStyle w:val="ListParagraph"/>
        <w:numPr>
          <w:ilvl w:val="0"/>
          <w:numId w:val="1"/>
        </w:numPr>
        <w:rPr>
          <w:rFonts w:ascii="Maiandra GD" w:hAnsi="Maiandra GD"/>
          <w:color w:val="000000" w:themeColor="text1"/>
          <w:sz w:val="28"/>
          <w:szCs w:val="28"/>
        </w:rPr>
      </w:pPr>
      <w:r w:rsidRPr="00864D8B">
        <w:rPr>
          <w:rFonts w:ascii="Maiandra GD" w:hAnsi="Maiandra GD"/>
          <w:color w:val="000000" w:themeColor="text1"/>
          <w:sz w:val="28"/>
          <w:szCs w:val="28"/>
        </w:rPr>
        <w:t>T</w:t>
      </w:r>
      <w:r w:rsidRPr="00864D8B">
        <w:rPr>
          <w:rFonts w:ascii="Maiandra GD" w:hAnsi="Maiandra GD"/>
          <w:color w:val="000000" w:themeColor="text1"/>
          <w:sz w:val="28"/>
          <w:szCs w:val="28"/>
        </w:rPr>
        <w:t xml:space="preserve">he risk and extent of any adverse impact that might result from a policy or decision should be assessed and consideration given to the ways in which that risk may be eliminated before the adoption of a proposed </w:t>
      </w:r>
      <w:proofErr w:type="gramStart"/>
      <w:r w:rsidRPr="00864D8B">
        <w:rPr>
          <w:rFonts w:ascii="Maiandra GD" w:hAnsi="Maiandra GD"/>
          <w:color w:val="000000" w:themeColor="text1"/>
          <w:sz w:val="28"/>
          <w:szCs w:val="28"/>
        </w:rPr>
        <w:t>policy;</w:t>
      </w:r>
      <w:proofErr w:type="gramEnd"/>
      <w:r w:rsidRPr="00864D8B">
        <w:rPr>
          <w:rFonts w:ascii="Maiandra GD" w:hAnsi="Maiandra GD"/>
          <w:color w:val="000000" w:themeColor="text1"/>
          <w:sz w:val="28"/>
          <w:szCs w:val="28"/>
        </w:rPr>
        <w:t xml:space="preserve"> </w:t>
      </w:r>
    </w:p>
    <w:p w14:paraId="3B9AE00B" w14:textId="1DF76D3F" w:rsidR="003B406F" w:rsidRPr="00864D8B" w:rsidRDefault="003B406F" w:rsidP="003B406F">
      <w:pPr>
        <w:pStyle w:val="ListParagraph"/>
        <w:numPr>
          <w:ilvl w:val="0"/>
          <w:numId w:val="1"/>
        </w:numPr>
        <w:rPr>
          <w:rFonts w:ascii="Maiandra GD" w:hAnsi="Maiandra GD"/>
          <w:color w:val="000000" w:themeColor="text1"/>
          <w:sz w:val="28"/>
          <w:szCs w:val="28"/>
        </w:rPr>
      </w:pPr>
      <w:r w:rsidRPr="00864D8B">
        <w:rPr>
          <w:rFonts w:ascii="Maiandra GD" w:hAnsi="Maiandra GD"/>
          <w:color w:val="000000" w:themeColor="text1"/>
          <w:sz w:val="28"/>
          <w:szCs w:val="28"/>
        </w:rPr>
        <w:t>T</w:t>
      </w:r>
      <w:r w:rsidRPr="00864D8B">
        <w:rPr>
          <w:rFonts w:ascii="Maiandra GD" w:hAnsi="Maiandra GD"/>
          <w:color w:val="000000" w:themeColor="text1"/>
          <w:sz w:val="28"/>
          <w:szCs w:val="28"/>
        </w:rPr>
        <w:t xml:space="preserve">his is not just a box-ticking exercise. The equality duty </w:t>
      </w:r>
      <w:r w:rsidRPr="00864D8B">
        <w:rPr>
          <w:rFonts w:ascii="Maiandra GD" w:hAnsi="Maiandra GD"/>
          <w:color w:val="000000" w:themeColor="text1"/>
          <w:sz w:val="28"/>
          <w:szCs w:val="28"/>
        </w:rPr>
        <w:t>is</w:t>
      </w:r>
      <w:r w:rsidRPr="00864D8B">
        <w:rPr>
          <w:rFonts w:ascii="Maiandra GD" w:hAnsi="Maiandra GD"/>
          <w:color w:val="000000" w:themeColor="text1"/>
          <w:sz w:val="28"/>
          <w:szCs w:val="28"/>
        </w:rPr>
        <w:t xml:space="preserve"> integrated into all of the work of </w:t>
      </w:r>
      <w:r w:rsidRPr="00864D8B">
        <w:rPr>
          <w:rFonts w:ascii="Maiandra GD" w:hAnsi="Maiandra GD"/>
          <w:color w:val="000000" w:themeColor="text1"/>
          <w:sz w:val="28"/>
          <w:szCs w:val="28"/>
        </w:rPr>
        <w:t>our</w:t>
      </w:r>
      <w:r w:rsidRPr="00864D8B">
        <w:rPr>
          <w:rFonts w:ascii="Maiandra GD" w:hAnsi="Maiandra GD"/>
          <w:color w:val="000000" w:themeColor="text1"/>
          <w:sz w:val="28"/>
          <w:szCs w:val="28"/>
        </w:rPr>
        <w:t xml:space="preserve"> school – </w:t>
      </w:r>
      <w:r w:rsidRPr="00864D8B">
        <w:rPr>
          <w:rFonts w:ascii="Maiandra GD" w:hAnsi="Maiandra GD"/>
          <w:color w:val="000000" w:themeColor="text1"/>
          <w:sz w:val="28"/>
          <w:szCs w:val="28"/>
        </w:rPr>
        <w:t xml:space="preserve">for example in how we plan the class novels we use, the content of Worship, the historical figures and events selected to examine, the PSHE and RSE curriculum design </w:t>
      </w:r>
      <w:r w:rsidRPr="00864D8B">
        <w:rPr>
          <w:rFonts w:ascii="Maiandra GD" w:hAnsi="Maiandra GD"/>
          <w:color w:val="000000" w:themeColor="text1"/>
          <w:sz w:val="28"/>
          <w:szCs w:val="28"/>
        </w:rPr>
        <w:t xml:space="preserve">to comply with the duty, </w:t>
      </w:r>
      <w:r w:rsidRPr="00864D8B">
        <w:rPr>
          <w:rFonts w:ascii="Maiandra GD" w:hAnsi="Maiandra GD"/>
          <w:color w:val="000000" w:themeColor="text1"/>
          <w:sz w:val="28"/>
          <w:szCs w:val="28"/>
        </w:rPr>
        <w:t>we</w:t>
      </w:r>
      <w:r w:rsidRPr="00864D8B">
        <w:rPr>
          <w:rFonts w:ascii="Maiandra GD" w:hAnsi="Maiandra GD"/>
          <w:color w:val="000000" w:themeColor="text1"/>
          <w:sz w:val="28"/>
          <w:szCs w:val="28"/>
        </w:rPr>
        <w:t xml:space="preserve"> should conduct the necessary analysis robustly and with an open min</w:t>
      </w:r>
      <w:r w:rsidR="00864D8B" w:rsidRPr="00864D8B">
        <w:rPr>
          <w:rFonts w:ascii="Maiandra GD" w:hAnsi="Maiandra GD"/>
          <w:color w:val="000000" w:themeColor="text1"/>
          <w:sz w:val="28"/>
          <w:szCs w:val="28"/>
        </w:rPr>
        <w:t xml:space="preserve">d, it will be </w:t>
      </w:r>
      <w:r w:rsidR="00864D8B" w:rsidRPr="00864D8B">
        <w:rPr>
          <w:rFonts w:ascii="Maiandra GD" w:hAnsi="Maiandra GD"/>
          <w:color w:val="000000" w:themeColor="text1"/>
          <w:sz w:val="28"/>
          <w:szCs w:val="28"/>
        </w:rPr>
        <w:lastRenderedPageBreak/>
        <w:t>considered as part of our decision making as a matter of course and influence both policy and practice.</w:t>
      </w:r>
    </w:p>
    <w:p w14:paraId="04241EC4" w14:textId="584B513E" w:rsidR="003B406F" w:rsidRDefault="003B406F" w:rsidP="003B406F">
      <w:pPr>
        <w:rPr>
          <w:rFonts w:ascii="Maiandra GD" w:hAnsi="Maiandra GD"/>
          <w:color w:val="000000" w:themeColor="text1"/>
          <w:sz w:val="28"/>
          <w:szCs w:val="28"/>
        </w:rPr>
      </w:pPr>
    </w:p>
    <w:p w14:paraId="7134DB9D" w14:textId="345C8B8A" w:rsidR="00864D8B" w:rsidRPr="00864D8B" w:rsidRDefault="00864D8B" w:rsidP="00864D8B">
      <w:pPr>
        <w:rPr>
          <w:rFonts w:ascii="Maiandra GD" w:hAnsi="Maiandra GD"/>
          <w:color w:val="0432FF"/>
          <w:sz w:val="28"/>
          <w:szCs w:val="28"/>
        </w:rPr>
      </w:pPr>
      <w:r w:rsidRPr="00864D8B">
        <w:rPr>
          <w:rFonts w:ascii="Maiandra GD" w:hAnsi="Maiandra GD"/>
          <w:color w:val="0432FF"/>
          <w:sz w:val="28"/>
          <w:szCs w:val="28"/>
        </w:rPr>
        <w:t xml:space="preserve">What are the protected characteristics? </w:t>
      </w:r>
    </w:p>
    <w:p w14:paraId="5D620852" w14:textId="77777777" w:rsidR="00864D8B" w:rsidRDefault="00864D8B" w:rsidP="00864D8B">
      <w:pPr>
        <w:rPr>
          <w:rFonts w:ascii="Maiandra GD" w:hAnsi="Maiandra GD"/>
          <w:color w:val="000000" w:themeColor="text1"/>
          <w:sz w:val="28"/>
          <w:szCs w:val="28"/>
        </w:rPr>
      </w:pPr>
    </w:p>
    <w:p w14:paraId="2C2A46CF" w14:textId="77777777" w:rsidR="00864D8B" w:rsidRDefault="00864D8B" w:rsidP="00864D8B">
      <w:pPr>
        <w:rPr>
          <w:rFonts w:ascii="Maiandra GD" w:hAnsi="Maiandra GD"/>
          <w:color w:val="000000" w:themeColor="text1"/>
          <w:sz w:val="28"/>
          <w:szCs w:val="28"/>
        </w:rPr>
      </w:pPr>
      <w:r w:rsidRPr="00864D8B">
        <w:rPr>
          <w:rFonts w:ascii="Maiandra GD" w:hAnsi="Maiandra GD"/>
          <w:color w:val="000000" w:themeColor="text1"/>
          <w:sz w:val="28"/>
          <w:szCs w:val="28"/>
        </w:rPr>
        <w:t xml:space="preserve">• age </w:t>
      </w:r>
    </w:p>
    <w:p w14:paraId="177C06E3" w14:textId="77777777" w:rsidR="00864D8B" w:rsidRDefault="00864D8B" w:rsidP="00864D8B">
      <w:pPr>
        <w:rPr>
          <w:rFonts w:ascii="Maiandra GD" w:hAnsi="Maiandra GD"/>
          <w:color w:val="000000" w:themeColor="text1"/>
          <w:sz w:val="28"/>
          <w:szCs w:val="28"/>
        </w:rPr>
      </w:pPr>
      <w:r w:rsidRPr="00864D8B">
        <w:rPr>
          <w:rFonts w:ascii="Maiandra GD" w:hAnsi="Maiandra GD"/>
          <w:color w:val="000000" w:themeColor="text1"/>
          <w:sz w:val="28"/>
          <w:szCs w:val="28"/>
        </w:rPr>
        <w:t xml:space="preserve">• disability </w:t>
      </w:r>
    </w:p>
    <w:p w14:paraId="69552FDA" w14:textId="77777777" w:rsidR="00864D8B" w:rsidRDefault="00864D8B" w:rsidP="00864D8B">
      <w:pPr>
        <w:rPr>
          <w:rFonts w:ascii="Maiandra GD" w:hAnsi="Maiandra GD"/>
          <w:color w:val="000000" w:themeColor="text1"/>
          <w:sz w:val="28"/>
          <w:szCs w:val="28"/>
        </w:rPr>
      </w:pPr>
      <w:r w:rsidRPr="00864D8B">
        <w:rPr>
          <w:rFonts w:ascii="Maiandra GD" w:hAnsi="Maiandra GD"/>
          <w:color w:val="000000" w:themeColor="text1"/>
          <w:sz w:val="28"/>
          <w:szCs w:val="28"/>
        </w:rPr>
        <w:t xml:space="preserve">• pregnancy and maternity </w:t>
      </w:r>
    </w:p>
    <w:p w14:paraId="69962D24" w14:textId="77777777" w:rsidR="00864D8B" w:rsidRDefault="00864D8B" w:rsidP="00864D8B">
      <w:pPr>
        <w:rPr>
          <w:rFonts w:ascii="Maiandra GD" w:hAnsi="Maiandra GD"/>
          <w:color w:val="000000" w:themeColor="text1"/>
          <w:sz w:val="28"/>
          <w:szCs w:val="28"/>
        </w:rPr>
      </w:pPr>
      <w:r w:rsidRPr="00864D8B">
        <w:rPr>
          <w:rFonts w:ascii="Maiandra GD" w:hAnsi="Maiandra GD"/>
          <w:color w:val="000000" w:themeColor="text1"/>
          <w:sz w:val="28"/>
          <w:szCs w:val="28"/>
        </w:rPr>
        <w:t xml:space="preserve">• religion or belief </w:t>
      </w:r>
    </w:p>
    <w:p w14:paraId="00E19022" w14:textId="4768DC6D" w:rsidR="00864D8B" w:rsidRDefault="00864D8B" w:rsidP="00864D8B">
      <w:pPr>
        <w:rPr>
          <w:rFonts w:ascii="Maiandra GD" w:hAnsi="Maiandra GD"/>
          <w:color w:val="000000" w:themeColor="text1"/>
          <w:sz w:val="28"/>
          <w:szCs w:val="28"/>
        </w:rPr>
      </w:pPr>
      <w:r w:rsidRPr="00864D8B">
        <w:rPr>
          <w:rFonts w:ascii="Maiandra GD" w:hAnsi="Maiandra GD"/>
          <w:color w:val="000000" w:themeColor="text1"/>
          <w:sz w:val="28"/>
          <w:szCs w:val="28"/>
        </w:rPr>
        <w:t xml:space="preserve">• </w:t>
      </w:r>
      <w:r>
        <w:rPr>
          <w:rFonts w:ascii="Maiandra GD" w:hAnsi="Maiandra GD"/>
          <w:color w:val="000000" w:themeColor="text1"/>
          <w:sz w:val="28"/>
          <w:szCs w:val="28"/>
        </w:rPr>
        <w:t xml:space="preserve">ethnicity and </w:t>
      </w:r>
      <w:r w:rsidRPr="00864D8B">
        <w:rPr>
          <w:rFonts w:ascii="Maiandra GD" w:hAnsi="Maiandra GD"/>
          <w:color w:val="000000" w:themeColor="text1"/>
          <w:sz w:val="28"/>
          <w:szCs w:val="28"/>
        </w:rPr>
        <w:t xml:space="preserve">race </w:t>
      </w:r>
    </w:p>
    <w:p w14:paraId="39FF0A6B" w14:textId="77777777" w:rsidR="00864D8B" w:rsidRDefault="00864D8B" w:rsidP="00864D8B">
      <w:pPr>
        <w:rPr>
          <w:rFonts w:ascii="Maiandra GD" w:hAnsi="Maiandra GD"/>
          <w:color w:val="000000" w:themeColor="text1"/>
          <w:sz w:val="28"/>
          <w:szCs w:val="28"/>
        </w:rPr>
      </w:pPr>
      <w:r w:rsidRPr="00864D8B">
        <w:rPr>
          <w:rFonts w:ascii="Maiandra GD" w:hAnsi="Maiandra GD"/>
          <w:color w:val="000000" w:themeColor="text1"/>
          <w:sz w:val="28"/>
          <w:szCs w:val="28"/>
        </w:rPr>
        <w:t xml:space="preserve">• sex </w:t>
      </w:r>
    </w:p>
    <w:p w14:paraId="06A5395F" w14:textId="77777777" w:rsidR="00864D8B" w:rsidRDefault="00864D8B" w:rsidP="00864D8B">
      <w:pPr>
        <w:rPr>
          <w:rFonts w:ascii="Maiandra GD" w:hAnsi="Maiandra GD"/>
          <w:color w:val="000000" w:themeColor="text1"/>
          <w:sz w:val="28"/>
          <w:szCs w:val="28"/>
        </w:rPr>
      </w:pPr>
      <w:r w:rsidRPr="00864D8B">
        <w:rPr>
          <w:rFonts w:ascii="Maiandra GD" w:hAnsi="Maiandra GD"/>
          <w:color w:val="000000" w:themeColor="text1"/>
          <w:sz w:val="28"/>
          <w:szCs w:val="28"/>
        </w:rPr>
        <w:t xml:space="preserve">• sexual orientation </w:t>
      </w:r>
    </w:p>
    <w:p w14:paraId="2ECE1DDE" w14:textId="77777777" w:rsidR="00864D8B" w:rsidRDefault="00864D8B" w:rsidP="00864D8B">
      <w:pPr>
        <w:rPr>
          <w:rFonts w:ascii="Maiandra GD" w:hAnsi="Maiandra GD"/>
          <w:color w:val="000000" w:themeColor="text1"/>
          <w:sz w:val="28"/>
          <w:szCs w:val="28"/>
        </w:rPr>
      </w:pPr>
      <w:r w:rsidRPr="00864D8B">
        <w:rPr>
          <w:rFonts w:ascii="Maiandra GD" w:hAnsi="Maiandra GD"/>
          <w:color w:val="000000" w:themeColor="text1"/>
          <w:sz w:val="28"/>
          <w:szCs w:val="28"/>
        </w:rPr>
        <w:t xml:space="preserve">• gender reassignment </w:t>
      </w:r>
    </w:p>
    <w:p w14:paraId="3C440ACB" w14:textId="1CDD2F4C" w:rsidR="00864D8B" w:rsidRPr="00864D8B" w:rsidRDefault="00864D8B" w:rsidP="00864D8B">
      <w:pPr>
        <w:rPr>
          <w:rFonts w:ascii="Maiandra GD" w:hAnsi="Maiandra GD"/>
          <w:color w:val="000000" w:themeColor="text1"/>
          <w:sz w:val="28"/>
          <w:szCs w:val="28"/>
        </w:rPr>
      </w:pPr>
      <w:r w:rsidRPr="00864D8B">
        <w:rPr>
          <w:rFonts w:ascii="Maiandra GD" w:hAnsi="Maiandra GD"/>
          <w:color w:val="000000" w:themeColor="text1"/>
          <w:sz w:val="28"/>
          <w:szCs w:val="28"/>
        </w:rPr>
        <w:t>• marriage and civil partnerships (only for the first aim of the duty</w:t>
      </w:r>
      <w:r>
        <w:rPr>
          <w:rFonts w:ascii="Maiandra GD" w:hAnsi="Maiandra GD"/>
          <w:color w:val="000000" w:themeColor="text1"/>
          <w:sz w:val="28"/>
          <w:szCs w:val="28"/>
        </w:rPr>
        <w:t>)</w:t>
      </w:r>
    </w:p>
    <w:p w14:paraId="5C789196" w14:textId="77777777" w:rsidR="00864D8B" w:rsidRPr="00864D8B" w:rsidRDefault="00864D8B" w:rsidP="003B406F">
      <w:pPr>
        <w:rPr>
          <w:rFonts w:ascii="Maiandra GD" w:hAnsi="Maiandra GD"/>
          <w:color w:val="000000" w:themeColor="text1"/>
          <w:sz w:val="28"/>
          <w:szCs w:val="28"/>
        </w:rPr>
      </w:pPr>
    </w:p>
    <w:sectPr w:rsidR="00864D8B" w:rsidRPr="00864D8B" w:rsidSect="00864D8B">
      <w:pgSz w:w="11906" w:h="16838"/>
      <w:pgMar w:top="1440" w:right="1440" w:bottom="34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iandra GD">
    <w:panose1 w:val="020E0502030308020204"/>
    <w:charset w:val="4D"/>
    <w:family w:val="swiss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B1E62"/>
    <w:multiLevelType w:val="hybridMultilevel"/>
    <w:tmpl w:val="83BAD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175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2A8"/>
    <w:rsid w:val="000742A8"/>
    <w:rsid w:val="002271D4"/>
    <w:rsid w:val="003B406F"/>
    <w:rsid w:val="004C47B9"/>
    <w:rsid w:val="0086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90339"/>
  <w15:chartTrackingRefBased/>
  <w15:docId w15:val="{4F433338-54D0-0E49-B76C-1F057FB7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0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C47B9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4C47B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Bridgette Gough - Head Teacher</dc:creator>
  <cp:keywords/>
  <dc:description/>
  <cp:lastModifiedBy>Bridgette Gough - Head Teacher</cp:lastModifiedBy>
  <cp:revision>1</cp:revision>
  <cp:lastPrinted>2022-07-18T20:13:00Z</cp:lastPrinted>
  <dcterms:created xsi:type="dcterms:W3CDTF">2022-07-18T19:32:00Z</dcterms:created>
  <dcterms:modified xsi:type="dcterms:W3CDTF">2022-07-18T20:16:00Z</dcterms:modified>
</cp:coreProperties>
</file>